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C1B4C" w14:textId="1F8698DE" w:rsidR="00F024FB" w:rsidRDefault="005D13DD">
      <w:pPr>
        <w:pStyle w:val="Standard"/>
        <w:jc w:val="both"/>
        <w:rPr>
          <w:b/>
          <w:sz w:val="28"/>
          <w:szCs w:val="28"/>
        </w:rPr>
      </w:pPr>
      <w:r>
        <w:rPr>
          <w:b/>
          <w:sz w:val="28"/>
          <w:szCs w:val="28"/>
        </w:rPr>
        <w:t xml:space="preserve">Une décroissance juste et efficace appelle un nouveau contrat entre Etat et </w:t>
      </w:r>
      <w:r w:rsidR="00631D53">
        <w:rPr>
          <w:b/>
          <w:sz w:val="28"/>
          <w:szCs w:val="28"/>
        </w:rPr>
        <w:t>t</w:t>
      </w:r>
      <w:r>
        <w:rPr>
          <w:b/>
          <w:sz w:val="28"/>
          <w:szCs w:val="28"/>
        </w:rPr>
        <w:t>erritoires</w:t>
      </w:r>
    </w:p>
    <w:p w14:paraId="09A34868" w14:textId="581D6365" w:rsidR="00154A5E" w:rsidRDefault="00154A5E">
      <w:pPr>
        <w:pStyle w:val="Standard"/>
        <w:jc w:val="both"/>
        <w:rPr>
          <w:b/>
          <w:sz w:val="28"/>
          <w:szCs w:val="28"/>
        </w:rPr>
      </w:pPr>
    </w:p>
    <w:p w14:paraId="7A7AFA92" w14:textId="43E9CBE4" w:rsidR="00154A5E" w:rsidRPr="00154A5E" w:rsidRDefault="00154A5E">
      <w:pPr>
        <w:pStyle w:val="Standard"/>
        <w:jc w:val="both"/>
        <w:rPr>
          <w:rFonts w:hint="eastAsia"/>
          <w:b/>
        </w:rPr>
      </w:pPr>
      <w:r w:rsidRPr="00154A5E">
        <w:rPr>
          <w:b/>
        </w:rPr>
        <w:t xml:space="preserve">Par Brice Fabre, </w:t>
      </w:r>
      <w:r w:rsidRPr="00154A5E">
        <w:rPr>
          <w:b/>
        </w:rPr>
        <w:t>économiste et militant écologiste</w:t>
      </w:r>
      <w:r w:rsidRPr="00154A5E">
        <w:rPr>
          <w:b/>
        </w:rPr>
        <w:t>, et Florentin Letissier, Maire-adjoint de Paris</w:t>
      </w:r>
    </w:p>
    <w:p w14:paraId="349FE749" w14:textId="77777777" w:rsidR="00F024FB" w:rsidRDefault="00F024FB">
      <w:pPr>
        <w:pStyle w:val="Standard"/>
        <w:jc w:val="both"/>
        <w:rPr>
          <w:rFonts w:hint="eastAsia"/>
        </w:rPr>
      </w:pPr>
    </w:p>
    <w:p w14:paraId="310F1066" w14:textId="7FA98D52" w:rsidR="00F024FB" w:rsidRDefault="005D13DD">
      <w:pPr>
        <w:pStyle w:val="Standard"/>
        <w:jc w:val="both"/>
        <w:rPr>
          <w:rFonts w:hint="eastAsia"/>
        </w:rPr>
      </w:pPr>
      <w:r>
        <w:t>Nous le savons, la transition écologiqu</w:t>
      </w:r>
      <w:bookmarkStart w:id="0" w:name="_GoBack"/>
      <w:bookmarkEnd w:id="0"/>
      <w:r>
        <w:t>e appelle à la réduction de nos consommations d’énergie et de ressources naturelles. Ce qui implique, soyons clairs, décroissance de notre consommation matérielle et donc du PIB. Certes, le progrès technique</w:t>
      </w:r>
      <w:r w:rsidR="00E44282">
        <w:t xml:space="preserve"> et la réorientation de l’économie vers des consommations plus responsables</w:t>
      </w:r>
      <w:r w:rsidR="00FB3FE4">
        <w:t xml:space="preserve"> p</w:t>
      </w:r>
      <w:r w:rsidR="00594CF3">
        <w:t>ourrai</w:t>
      </w:r>
      <w:r w:rsidR="006C144E">
        <w:t>en</w:t>
      </w:r>
      <w:r w:rsidR="00594CF3">
        <w:t>t</w:t>
      </w:r>
      <w:r w:rsidR="00FB3FE4">
        <w:t xml:space="preserve"> « verdir » </w:t>
      </w:r>
      <w:r w:rsidR="00216141">
        <w:t xml:space="preserve">notre </w:t>
      </w:r>
      <w:r w:rsidR="00D27DE7">
        <w:t>« </w:t>
      </w:r>
      <w:r w:rsidR="004075D8">
        <w:t>richesse</w:t>
      </w:r>
      <w:r w:rsidR="00D27DE7">
        <w:t> »</w:t>
      </w:r>
      <w:r w:rsidR="004075D8">
        <w:t xml:space="preserve"> nationale</w:t>
      </w:r>
      <w:r w:rsidR="00FB3FE4">
        <w:t xml:space="preserve">. Mais au regard des ordres de grandeur en jeu, comme par exemple </w:t>
      </w:r>
      <w:r w:rsidR="00947353">
        <w:t xml:space="preserve">notre </w:t>
      </w:r>
      <w:r w:rsidR="00EF5D81">
        <w:t>objectif</w:t>
      </w:r>
      <w:r w:rsidR="00E36E2E">
        <w:t>, inscrit dans loi énergie-climat,</w:t>
      </w:r>
      <w:r w:rsidR="00EF5D81">
        <w:t xml:space="preserve"> de diviser par </w:t>
      </w:r>
      <w:r w:rsidR="00FB3FE4">
        <w:t xml:space="preserve">six </w:t>
      </w:r>
      <w:r w:rsidR="00F76C06">
        <w:t xml:space="preserve">nos </w:t>
      </w:r>
      <w:r w:rsidR="00E36E2E">
        <w:t>émissions</w:t>
      </w:r>
      <w:r w:rsidR="00F76C06">
        <w:t xml:space="preserve"> de gaz à effet de serre </w:t>
      </w:r>
      <w:r w:rsidR="00FB3FE4">
        <w:t>pour atteindre la neutralité carbone à horizon 2050, difficile de penser que la transition à mener ne passe</w:t>
      </w:r>
      <w:r w:rsidR="00427C87">
        <w:t>ra</w:t>
      </w:r>
      <w:r w:rsidR="00FB3FE4">
        <w:t xml:space="preserve"> pas par une baisse </w:t>
      </w:r>
      <w:r w:rsidR="0041775D">
        <w:t>radicale de nos modes de vie et de notre consommation.</w:t>
      </w:r>
    </w:p>
    <w:p w14:paraId="44C6620C" w14:textId="77777777" w:rsidR="001E02F5" w:rsidRDefault="001E02F5">
      <w:pPr>
        <w:pStyle w:val="Standard"/>
        <w:jc w:val="both"/>
        <w:rPr>
          <w:rFonts w:hint="eastAsia"/>
        </w:rPr>
      </w:pPr>
    </w:p>
    <w:p w14:paraId="7853B3DE" w14:textId="7E85EFBE" w:rsidR="00D57544" w:rsidRDefault="00EB6623">
      <w:pPr>
        <w:pStyle w:val="Standard"/>
        <w:jc w:val="both"/>
        <w:rPr>
          <w:rFonts w:hint="eastAsia"/>
        </w:rPr>
      </w:pPr>
      <w:r>
        <w:t>U</w:t>
      </w:r>
      <w:r w:rsidR="00E44282">
        <w:t xml:space="preserve">ne </w:t>
      </w:r>
      <w:r w:rsidR="0079069F">
        <w:t xml:space="preserve">telle </w:t>
      </w:r>
      <w:r w:rsidR="00E44282">
        <w:t xml:space="preserve">transition </w:t>
      </w:r>
      <w:r w:rsidR="00904BA5">
        <w:t xml:space="preserve">ne peut </w:t>
      </w:r>
      <w:r w:rsidR="005C08A4">
        <w:t xml:space="preserve">selon nous que </w:t>
      </w:r>
      <w:r w:rsidR="00904BA5">
        <w:t>prendre la forme</w:t>
      </w:r>
      <w:r w:rsidR="009534D6">
        <w:t xml:space="preserve"> de politiques davantage tournée</w:t>
      </w:r>
      <w:r w:rsidR="000F65E6">
        <w:t>s</w:t>
      </w:r>
      <w:r w:rsidR="009534D6">
        <w:t xml:space="preserve"> vers les territoires</w:t>
      </w:r>
      <w:r w:rsidR="00E10B1E">
        <w:t xml:space="preserve">. D’une part </w:t>
      </w:r>
      <w:r w:rsidR="008142B8">
        <w:t xml:space="preserve">car le local </w:t>
      </w:r>
      <w:r w:rsidR="00606902">
        <w:t xml:space="preserve">renvoie à de multiples leviers </w:t>
      </w:r>
      <w:r w:rsidR="00970CF5">
        <w:t xml:space="preserve">qu’il est </w:t>
      </w:r>
      <w:r w:rsidR="00606902">
        <w:t>nécessaire d’activer</w:t>
      </w:r>
      <w:r w:rsidR="006A222D">
        <w:t> :</w:t>
      </w:r>
      <w:r w:rsidR="00AA200E">
        <w:t xml:space="preserve"> </w:t>
      </w:r>
      <w:r w:rsidR="00892160">
        <w:t xml:space="preserve">regrouper davantage l’habitat, penser le tissu économique et les infrastructures publiques pour réduire les temps de transport ; renforcer l’autonomie de chaque territoire pour sa propre consommation, afin de mettre en place des circuits courts, etc. </w:t>
      </w:r>
      <w:r w:rsidR="0037623D">
        <w:t xml:space="preserve">D’autre part </w:t>
      </w:r>
      <w:r w:rsidR="0070311C">
        <w:t>car</w:t>
      </w:r>
      <w:r w:rsidR="00892160">
        <w:t xml:space="preserve"> </w:t>
      </w:r>
      <w:r w:rsidR="0032154B">
        <w:t xml:space="preserve">un </w:t>
      </w:r>
      <w:r w:rsidR="00892160">
        <w:t xml:space="preserve">objectif central </w:t>
      </w:r>
      <w:r w:rsidR="00AE24BF">
        <w:t xml:space="preserve">doit être d’offrir </w:t>
      </w:r>
      <w:r w:rsidR="00892160">
        <w:t xml:space="preserve">aux citoyens un cadre de vie </w:t>
      </w:r>
      <w:r w:rsidR="004E7EAA">
        <w:t xml:space="preserve">de proximité </w:t>
      </w:r>
      <w:r w:rsidR="00892160">
        <w:t xml:space="preserve">de qualité, pour une décroissance </w:t>
      </w:r>
      <w:r w:rsidR="0050356F">
        <w:t>allant</w:t>
      </w:r>
      <w:r w:rsidR="00892160">
        <w:t xml:space="preserve"> de pair avec </w:t>
      </w:r>
      <w:r w:rsidR="00CD3854">
        <w:t>une</w:t>
      </w:r>
      <w:r w:rsidR="00892160">
        <w:t xml:space="preserve"> hausse du bien-être</w:t>
      </w:r>
      <w:r w:rsidR="009E3E68">
        <w:t xml:space="preserve"> : qualité des espaces de vie, services publics locaux, </w:t>
      </w:r>
      <w:r w:rsidR="00DA23E9">
        <w:t xml:space="preserve">recentrer </w:t>
      </w:r>
      <w:r w:rsidR="001F48DC">
        <w:t xml:space="preserve">notre quotidien </w:t>
      </w:r>
      <w:r w:rsidR="00850889">
        <w:t xml:space="preserve">sur la culture, le sport, </w:t>
      </w:r>
      <w:r w:rsidR="0073063E">
        <w:t xml:space="preserve">la vie associative, </w:t>
      </w:r>
      <w:r w:rsidR="00850889">
        <w:t>etc.</w:t>
      </w:r>
      <w:r w:rsidR="000677CA">
        <w:t xml:space="preserve"> Enfin </w:t>
      </w:r>
      <w:r w:rsidR="00993A43">
        <w:t>car l</w:t>
      </w:r>
      <w:r w:rsidR="00FA45FD">
        <w:t>es territoires</w:t>
      </w:r>
      <w:r w:rsidR="00BB2F67">
        <w:t xml:space="preserve"> </w:t>
      </w:r>
      <w:r w:rsidR="00D84EDD">
        <w:t xml:space="preserve">sont </w:t>
      </w:r>
      <w:r w:rsidR="00A0067B">
        <w:t>la bonne échelle pour permettre la mise en place de processus démocratiques de proximité, ancrés dans les préoccupations des populations</w:t>
      </w:r>
      <w:r w:rsidR="00D84EDD">
        <w:t>.</w:t>
      </w:r>
    </w:p>
    <w:p w14:paraId="55B4C7C2" w14:textId="13604328" w:rsidR="00517248" w:rsidRDefault="00517248" w:rsidP="000C1B6A">
      <w:pPr>
        <w:pStyle w:val="Standard"/>
        <w:jc w:val="both"/>
        <w:rPr>
          <w:rFonts w:hint="eastAsia"/>
        </w:rPr>
      </w:pPr>
    </w:p>
    <w:p w14:paraId="68378AE2" w14:textId="250E54EA" w:rsidR="009E414D" w:rsidRDefault="00C63851" w:rsidP="00350E4D">
      <w:pPr>
        <w:pStyle w:val="Standard"/>
        <w:jc w:val="both"/>
        <w:rPr>
          <w:rFonts w:hint="eastAsia"/>
        </w:rPr>
      </w:pPr>
      <w:r>
        <w:t xml:space="preserve">Il nous semble donc crucial </w:t>
      </w:r>
      <w:r w:rsidR="002801B9">
        <w:t xml:space="preserve">de réaffirmer le rôle des collectivités locales. </w:t>
      </w:r>
      <w:r w:rsidR="00517248">
        <w:t>Sur les compétences d’abord.</w:t>
      </w:r>
      <w:r w:rsidR="001C2BF8">
        <w:t xml:space="preserve"> Même si de nombreuses compétences doivent selon nous rester à l’échelle nationale (</w:t>
      </w:r>
      <w:r w:rsidR="00363848">
        <w:t xml:space="preserve">par exemple </w:t>
      </w:r>
      <w:r w:rsidR="001C2BF8">
        <w:t>l’éducation</w:t>
      </w:r>
      <w:r w:rsidR="00363848">
        <w:t xml:space="preserve"> ou</w:t>
      </w:r>
      <w:r w:rsidR="001C2BF8">
        <w:t xml:space="preserve"> la santé)</w:t>
      </w:r>
      <w:r w:rsidR="008D35D4">
        <w:t>, et que</w:t>
      </w:r>
      <w:r w:rsidR="000425DC">
        <w:t xml:space="preserve"> </w:t>
      </w:r>
      <w:r w:rsidR="008D35D4">
        <w:t xml:space="preserve">l’Etat </w:t>
      </w:r>
      <w:r w:rsidR="000425DC">
        <w:t>se doit aussi de fixer des objectifs nationaux clairs</w:t>
      </w:r>
      <w:r w:rsidR="00580F81">
        <w:t xml:space="preserve"> à décliner localement</w:t>
      </w:r>
      <w:r w:rsidR="000425DC">
        <w:t xml:space="preserve"> </w:t>
      </w:r>
      <w:r w:rsidR="000160A5">
        <w:t>pour la transition</w:t>
      </w:r>
      <w:r w:rsidR="00BC74A1">
        <w:t xml:space="preserve"> à mener, </w:t>
      </w:r>
      <w:r w:rsidR="006D2453">
        <w:t>d’autres</w:t>
      </w:r>
      <w:r w:rsidR="0095289D">
        <w:t xml:space="preserve"> </w:t>
      </w:r>
      <w:r w:rsidR="00831559">
        <w:t xml:space="preserve">doivent être </w:t>
      </w:r>
      <w:r w:rsidR="0046406A">
        <w:t>avant tout soumises à la démocratie locale</w:t>
      </w:r>
      <w:r w:rsidR="0076237C">
        <w:t>. C’est le cas de</w:t>
      </w:r>
      <w:r w:rsidR="00106F8D">
        <w:t xml:space="preserve"> </w:t>
      </w:r>
      <w:r w:rsidR="00727687">
        <w:t>l’aménagement du territoire</w:t>
      </w:r>
      <w:r w:rsidR="00011670">
        <w:t xml:space="preserve">, </w:t>
      </w:r>
      <w:r w:rsidR="007A7C7F">
        <w:t>d</w:t>
      </w:r>
      <w:r w:rsidR="000A740C">
        <w:t>es transports</w:t>
      </w:r>
      <w:r w:rsidR="00F5426F">
        <w:t xml:space="preserve">, ou encore </w:t>
      </w:r>
      <w:r w:rsidR="00666A4F">
        <w:t xml:space="preserve">de </w:t>
      </w:r>
      <w:r w:rsidR="00F5426F">
        <w:t>la gestion de l’eau</w:t>
      </w:r>
      <w:r w:rsidR="00FC1717">
        <w:t>. L</w:t>
      </w:r>
      <w:r w:rsidR="00946B84">
        <w:t>es</w:t>
      </w:r>
      <w:r w:rsidR="00F301D6">
        <w:t xml:space="preserve"> </w:t>
      </w:r>
      <w:r w:rsidR="00946B84">
        <w:t xml:space="preserve">récents </w:t>
      </w:r>
      <w:r w:rsidR="00F301D6">
        <w:t xml:space="preserve">protocoles </w:t>
      </w:r>
      <w:r w:rsidR="00840A52">
        <w:t xml:space="preserve">signés par voie préfectorale et </w:t>
      </w:r>
      <w:r w:rsidR="00FB4063">
        <w:t>relatifs à la construction</w:t>
      </w:r>
      <w:r w:rsidR="00C050F6">
        <w:t xml:space="preserve"> de méga-bassines</w:t>
      </w:r>
      <w:r w:rsidR="00946B84">
        <w:t xml:space="preserve"> montr</w:t>
      </w:r>
      <w:r w:rsidR="002D1073">
        <w:t>e</w:t>
      </w:r>
      <w:r w:rsidR="00946B84">
        <w:t>nt bien qu’imposer</w:t>
      </w:r>
      <w:r w:rsidR="002D1073">
        <w:t xml:space="preserve"> </w:t>
      </w:r>
      <w:r w:rsidR="00241B8C">
        <w:t xml:space="preserve">sur un territoire </w:t>
      </w:r>
      <w:r w:rsidR="002D1073">
        <w:t xml:space="preserve">une position </w:t>
      </w:r>
      <w:r w:rsidR="00B952D7">
        <w:t>for</w:t>
      </w:r>
      <w:r w:rsidR="00292FE5">
        <w:t>te</w:t>
      </w:r>
      <w:r w:rsidR="002D1073">
        <w:t xml:space="preserve"> sur la répartition de la ressource en eau </w:t>
      </w:r>
      <w:r w:rsidR="00352088">
        <w:t xml:space="preserve">ne peut qu’aboutir à </w:t>
      </w:r>
      <w:r w:rsidR="008B333A">
        <w:t>des tensions sociales.</w:t>
      </w:r>
    </w:p>
    <w:p w14:paraId="2121B6D2" w14:textId="77777777" w:rsidR="009E414D" w:rsidRDefault="009E414D" w:rsidP="00350E4D">
      <w:pPr>
        <w:pStyle w:val="Standard"/>
        <w:jc w:val="both"/>
        <w:rPr>
          <w:rFonts w:hint="eastAsia"/>
        </w:rPr>
      </w:pPr>
    </w:p>
    <w:p w14:paraId="6A53DDCF" w14:textId="6B134F61" w:rsidR="00255C0D" w:rsidRDefault="0090034D" w:rsidP="001C7CB3">
      <w:pPr>
        <w:pStyle w:val="Standard"/>
        <w:jc w:val="both"/>
        <w:rPr>
          <w:rFonts w:hint="eastAsia"/>
        </w:rPr>
      </w:pPr>
      <w:r>
        <w:t xml:space="preserve">Sur les ressources </w:t>
      </w:r>
      <w:r w:rsidR="00825CF9">
        <w:t xml:space="preserve">financières </w:t>
      </w:r>
      <w:r>
        <w:t xml:space="preserve">ensuite. </w:t>
      </w:r>
      <w:r w:rsidR="006A5375">
        <w:t>A</w:t>
      </w:r>
      <w:r w:rsidR="007E3C63">
        <w:t>u-delà</w:t>
      </w:r>
      <w:r w:rsidR="00676DEC">
        <w:t xml:space="preserve"> des prérogatives </w:t>
      </w:r>
      <w:r w:rsidR="00DD0B0C">
        <w:t>allouées aux collectivités territoriales,</w:t>
      </w:r>
      <w:r w:rsidR="007E3C63">
        <w:t xml:space="preserve"> </w:t>
      </w:r>
      <w:r w:rsidR="00A746D0">
        <w:t xml:space="preserve">une question centrale </w:t>
      </w:r>
      <w:r w:rsidR="00546EA4">
        <w:t xml:space="preserve">aujourd’hui </w:t>
      </w:r>
      <w:r w:rsidR="00A746D0">
        <w:t xml:space="preserve">est celle </w:t>
      </w:r>
      <w:r w:rsidR="00FA22B8">
        <w:t xml:space="preserve">de l’autonomie financière des collectivités. </w:t>
      </w:r>
      <w:r w:rsidR="006F0643">
        <w:t xml:space="preserve">La transition à opérer </w:t>
      </w:r>
      <w:r w:rsidR="00527E2F">
        <w:t xml:space="preserve">ne peut se faire sans davantage de démocratie locale. </w:t>
      </w:r>
      <w:r w:rsidR="003960AD">
        <w:t xml:space="preserve">Or, </w:t>
      </w:r>
      <w:r w:rsidR="008B2356">
        <w:t xml:space="preserve">donner aux collectivités locales </w:t>
      </w:r>
      <w:r w:rsidR="00C72D0D">
        <w:t xml:space="preserve">des compétences sans </w:t>
      </w:r>
      <w:r w:rsidR="008455CE">
        <w:t xml:space="preserve">marge de manœuvre </w:t>
      </w:r>
      <w:r w:rsidR="0012266B">
        <w:t>du point de vue de leur</w:t>
      </w:r>
      <w:r w:rsidR="0024203D">
        <w:t>s</w:t>
      </w:r>
      <w:r w:rsidR="0012266B">
        <w:t xml:space="preserve"> re</w:t>
      </w:r>
      <w:r w:rsidR="00624A68">
        <w:t>ss</w:t>
      </w:r>
      <w:r w:rsidR="0012266B">
        <w:t>ources, c</w:t>
      </w:r>
      <w:r w:rsidR="00B614C0">
        <w:t xml:space="preserve">’est </w:t>
      </w:r>
      <w:r w:rsidR="00464D90">
        <w:t xml:space="preserve">ne faire que la moitié </w:t>
      </w:r>
      <w:r w:rsidR="00F5383D">
        <w:t xml:space="preserve">du chemin. </w:t>
      </w:r>
      <w:r w:rsidR="001C7CB3">
        <w:t xml:space="preserve">Il s’agit </w:t>
      </w:r>
      <w:r w:rsidR="00FB2FFD">
        <w:t>ici moins</w:t>
      </w:r>
      <w:r w:rsidR="001C7CB3">
        <w:t xml:space="preserve"> d’augmenter les budgets locaux</w:t>
      </w:r>
      <w:r w:rsidR="00FB2FFD">
        <w:t xml:space="preserve"> que</w:t>
      </w:r>
      <w:r w:rsidR="001C7CB3">
        <w:t xml:space="preserve"> de donner aux collectivités un </w:t>
      </w:r>
      <w:r w:rsidR="0024203D">
        <w:t>véritable</w:t>
      </w:r>
      <w:r w:rsidR="001C7CB3">
        <w:t xml:space="preserve"> pouvoir en termes fiscal. </w:t>
      </w:r>
      <w:r w:rsidR="000D7EC6">
        <w:t xml:space="preserve">Une réelle démocratie locale </w:t>
      </w:r>
      <w:r w:rsidR="0036670A">
        <w:t xml:space="preserve">à travers </w:t>
      </w:r>
      <w:r w:rsidR="00FC6CC6">
        <w:t xml:space="preserve">l’action des élus locaux </w:t>
      </w:r>
      <w:r w:rsidR="008C0332">
        <w:t xml:space="preserve">implique certes </w:t>
      </w:r>
      <w:r w:rsidR="003B11E1">
        <w:t xml:space="preserve">de </w:t>
      </w:r>
      <w:r w:rsidR="00D46ADC">
        <w:t xml:space="preserve">décider </w:t>
      </w:r>
      <w:r w:rsidR="00813CCC">
        <w:t xml:space="preserve">sur </w:t>
      </w:r>
      <w:r w:rsidR="00074D65">
        <w:t>quoi dépenser</w:t>
      </w:r>
      <w:r w:rsidR="00E67B59">
        <w:t xml:space="preserve"> </w:t>
      </w:r>
      <w:r w:rsidR="00FB527C">
        <w:t xml:space="preserve">et </w:t>
      </w:r>
      <w:r w:rsidR="00813CCC">
        <w:t>de combien</w:t>
      </w:r>
      <w:r w:rsidR="00E67B59">
        <w:t xml:space="preserve">. </w:t>
      </w:r>
      <w:r w:rsidR="003B11E1">
        <w:t xml:space="preserve">Mais aussi </w:t>
      </w:r>
      <w:r w:rsidR="0055630C">
        <w:t xml:space="preserve">de décider comment </w:t>
      </w:r>
      <w:r w:rsidR="005D0809">
        <w:t xml:space="preserve">financer </w:t>
      </w:r>
      <w:r w:rsidR="004721BB">
        <w:t>ces dépenses : qui doit contribuer</w:t>
      </w:r>
      <w:r w:rsidR="00590EFB">
        <w:t xml:space="preserve"> ? Sur </w:t>
      </w:r>
      <w:r w:rsidR="004721BB">
        <w:t xml:space="preserve">quelles bases ? </w:t>
      </w:r>
      <w:r w:rsidR="008B6864">
        <w:t>A quelle hauteur ?</w:t>
      </w:r>
    </w:p>
    <w:p w14:paraId="48671ECB" w14:textId="77777777" w:rsidR="00255C0D" w:rsidRDefault="00255C0D" w:rsidP="001C7CB3">
      <w:pPr>
        <w:pStyle w:val="Standard"/>
        <w:jc w:val="both"/>
        <w:rPr>
          <w:rFonts w:hint="eastAsia"/>
        </w:rPr>
      </w:pPr>
    </w:p>
    <w:p w14:paraId="042F3968" w14:textId="2BFB31A2" w:rsidR="001C7CB3" w:rsidRDefault="006B4A18" w:rsidP="001C7CB3">
      <w:pPr>
        <w:pStyle w:val="Standard"/>
        <w:jc w:val="both"/>
        <w:rPr>
          <w:rFonts w:hint="eastAsia"/>
        </w:rPr>
      </w:pPr>
      <w:r>
        <w:t>De ce point de vue, force est de constater que la dynamique est à la régression</w:t>
      </w:r>
      <w:r w:rsidR="00C670D0">
        <w:t xml:space="preserve"> depuis plus d’une décennie</w:t>
      </w:r>
      <w:r>
        <w:t>.</w:t>
      </w:r>
      <w:r w:rsidR="006B57FE">
        <w:t xml:space="preserve"> </w:t>
      </w:r>
      <w:r w:rsidR="00C670D0">
        <w:t>L</w:t>
      </w:r>
      <w:r w:rsidR="009F795C">
        <w:t xml:space="preserve">e pouvoir central </w:t>
      </w:r>
      <w:r w:rsidR="00444355">
        <w:t xml:space="preserve">se limite </w:t>
      </w:r>
      <w:r w:rsidR="006F7A9F">
        <w:t>à un</w:t>
      </w:r>
      <w:r w:rsidR="00217E74">
        <w:t xml:space="preserve"> discours </w:t>
      </w:r>
      <w:r w:rsidR="00E7304C">
        <w:t xml:space="preserve">pointant </w:t>
      </w:r>
      <w:r w:rsidR="00C81415">
        <w:t>du doigt l’état des finances publiques locales</w:t>
      </w:r>
      <w:r w:rsidR="0030463C">
        <w:t xml:space="preserve">, et à réduire </w:t>
      </w:r>
      <w:r w:rsidR="009B3892">
        <w:t xml:space="preserve">les </w:t>
      </w:r>
      <w:r w:rsidR="0030463C">
        <w:t>marge</w:t>
      </w:r>
      <w:r w:rsidR="009B3892">
        <w:t>s</w:t>
      </w:r>
      <w:r w:rsidR="0030463C">
        <w:t xml:space="preserve"> de manœuvre</w:t>
      </w:r>
      <w:r w:rsidR="009B3892">
        <w:t xml:space="preserve"> des collectivités</w:t>
      </w:r>
      <w:r w:rsidR="00F52ADE">
        <w:t xml:space="preserve"> territoriales</w:t>
      </w:r>
      <w:r w:rsidR="00041854">
        <w:t xml:space="preserve">. </w:t>
      </w:r>
      <w:r w:rsidR="00987FBE">
        <w:t xml:space="preserve">Or, </w:t>
      </w:r>
      <w:r w:rsidR="00084DEF">
        <w:t xml:space="preserve">la dette des administrations publiques locales ne représente que </w:t>
      </w:r>
      <w:r w:rsidR="00111548">
        <w:t>9</w:t>
      </w:r>
      <w:r w:rsidR="00084DEF">
        <w:t>% de la dette publique totale, alors qu</w:t>
      </w:r>
      <w:r w:rsidR="00FF1F60">
        <w:t xml:space="preserve">e ces administrations </w:t>
      </w:r>
      <w:r w:rsidR="00084DEF">
        <w:t>représente</w:t>
      </w:r>
      <w:r w:rsidR="002D42A9">
        <w:t>nt</w:t>
      </w:r>
      <w:r w:rsidR="00084DEF">
        <w:t xml:space="preserve"> </w:t>
      </w:r>
      <w:r w:rsidR="000D1000">
        <w:t>19</w:t>
      </w:r>
      <w:r w:rsidR="00084DEF">
        <w:t>% de la dépense publique</w:t>
      </w:r>
      <w:r w:rsidR="009B7F9C">
        <w:rPr>
          <w:rStyle w:val="Appelnotedebasdep"/>
          <w:rFonts w:hint="eastAsia"/>
        </w:rPr>
        <w:footnoteReference w:id="1"/>
      </w:r>
      <w:r w:rsidR="001F6E90">
        <w:t>.</w:t>
      </w:r>
      <w:r w:rsidR="00D01DBA">
        <w:t xml:space="preserve"> </w:t>
      </w:r>
      <w:r w:rsidR="009E59DF">
        <w:t xml:space="preserve">Depuis plus de dix ans, </w:t>
      </w:r>
      <w:r w:rsidR="00887BCD">
        <w:t>l</w:t>
      </w:r>
      <w:r w:rsidR="00DA4913">
        <w:t xml:space="preserve">es collectivités </w:t>
      </w:r>
      <w:r w:rsidR="00192BB2">
        <w:t xml:space="preserve">locales </w:t>
      </w:r>
      <w:r w:rsidR="008259A4">
        <w:t xml:space="preserve">disposent </w:t>
      </w:r>
      <w:r w:rsidR="00192BB2">
        <w:t xml:space="preserve">de moins en moins d’impôt </w:t>
      </w:r>
      <w:r w:rsidR="00234424">
        <w:t xml:space="preserve">avec </w:t>
      </w:r>
      <w:r w:rsidR="00192BB2">
        <w:t xml:space="preserve">un pouvoir de taux, et de plus en plus de transferts reçus de l’Etat : </w:t>
      </w:r>
      <w:r w:rsidR="00786F0C">
        <w:t xml:space="preserve">réforme de la taxe professionnelle de 2010, </w:t>
      </w:r>
      <w:r w:rsidR="00192BB2">
        <w:t>suppression de la taxe d’habitation</w:t>
      </w:r>
      <w:r w:rsidR="00103DFB">
        <w:t xml:space="preserve"> ; </w:t>
      </w:r>
      <w:r w:rsidR="00493152">
        <w:lastRenderedPageBreak/>
        <w:t xml:space="preserve">suppression </w:t>
      </w:r>
      <w:r w:rsidR="00E63946">
        <w:t xml:space="preserve">programmée </w:t>
      </w:r>
      <w:r w:rsidR="00493152">
        <w:t>de la CVAE</w:t>
      </w:r>
      <w:r w:rsidR="00A24EFC">
        <w:t>, etc.</w:t>
      </w:r>
      <w:r w:rsidR="00FD5828">
        <w:t xml:space="preserve"> </w:t>
      </w:r>
      <w:r w:rsidR="00495C44">
        <w:t xml:space="preserve">A la place, </w:t>
      </w:r>
      <w:r w:rsidR="00EC4850">
        <w:t>nous</w:t>
      </w:r>
      <w:r w:rsidR="00F73FD5">
        <w:t xml:space="preserve"> proposons</w:t>
      </w:r>
      <w:r w:rsidR="00EC4850">
        <w:t xml:space="preserve"> que les collectivités territoriales dispose</w:t>
      </w:r>
      <w:r w:rsidR="00B6741A">
        <w:t>nt</w:t>
      </w:r>
      <w:r w:rsidR="00EC4850">
        <w:t xml:space="preserve"> d’impôts locaux à plusieurs tranches d’imposition dont elles choisiraient les taux, afin qu’elles puissent définir au sein de leur territoire qui</w:t>
      </w:r>
      <w:r w:rsidR="0067518E">
        <w:t>, parmi les ménages et les entreprises,</w:t>
      </w:r>
      <w:r w:rsidR="00EC4850">
        <w:t xml:space="preserve"> doit contribuer davantage ou moins que la moyenne à l’effort public de réduction de l’empreinte écologique. Cela leur donnerait un véritable pouvoir d’arbitrage en termes de justice sociale, nécessaire au regain de démocratie locale. Cela aurait </w:t>
      </w:r>
      <w:r w:rsidR="00934BDB">
        <w:t>aussi</w:t>
      </w:r>
      <w:r w:rsidR="00EC4850">
        <w:t xml:space="preserve"> pour effet de responsabiliser davantage nos décideurs vis-à-vis de l’usage des finances publiques, les travaux</w:t>
      </w:r>
      <w:r w:rsidR="00A732B4">
        <w:t xml:space="preserve"> de recherche</w:t>
      </w:r>
      <w:r w:rsidR="00EC4850">
        <w:t xml:space="preserve"> existants sur différents pays montrant que les collectivités locales tendent à utiliser de manière plus attentive des fonds venus d’impôts versés par leurs administrés, par rapport à des transferts versés par l’Etat</w:t>
      </w:r>
      <w:r w:rsidR="00EC4850">
        <w:rPr>
          <w:rStyle w:val="Appelnotedebasdep"/>
        </w:rPr>
        <w:t xml:space="preserve"> </w:t>
      </w:r>
      <w:r w:rsidR="00EC4850">
        <w:rPr>
          <w:rStyle w:val="Appelnotedebasdep"/>
          <w:rFonts w:hint="eastAsia"/>
        </w:rPr>
        <w:footnoteReference w:id="2"/>
      </w:r>
      <w:r w:rsidR="00EC4850">
        <w:t>.</w:t>
      </w:r>
    </w:p>
    <w:p w14:paraId="0068B313" w14:textId="77777777" w:rsidR="00F024FB" w:rsidRDefault="00F024FB">
      <w:pPr>
        <w:pStyle w:val="Standard"/>
        <w:jc w:val="both"/>
        <w:rPr>
          <w:rFonts w:hint="eastAsia"/>
        </w:rPr>
      </w:pPr>
    </w:p>
    <w:p w14:paraId="14853569" w14:textId="5242128B" w:rsidR="00865E48" w:rsidRDefault="005D13DD">
      <w:pPr>
        <w:pStyle w:val="Standard"/>
        <w:jc w:val="both"/>
        <w:rPr>
          <w:rFonts w:hint="eastAsia"/>
        </w:rPr>
      </w:pPr>
      <w:r>
        <w:t>Le changement de nos modes de vie et normes de consommation nécessaire à la transition écologique doit en somme s’accompagner d’un nouveau contrat entre l’Etat et les collectivités locales, sans remettre en question l’unité nationale et les valeurs fondamentales de notre République. De notre point de vue, si tous les partis politiques doivent s’emparer de ce sujet fondamental, l’écologie politique en France, notamment parce qu’elle est profondément de tradition décentralisatrice, se doit d’être innovante sur ces questions, afin d’amorcer les dynamiques nécessaires et de faire bouger les lignes, au-delà des clivages politiques habituels.</w:t>
      </w:r>
    </w:p>
    <w:sectPr w:rsidR="00865E4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7A063" w14:textId="77777777" w:rsidR="00206354" w:rsidRDefault="00206354">
      <w:pPr>
        <w:rPr>
          <w:rFonts w:hint="eastAsia"/>
        </w:rPr>
      </w:pPr>
      <w:r>
        <w:separator/>
      </w:r>
    </w:p>
  </w:endnote>
  <w:endnote w:type="continuationSeparator" w:id="0">
    <w:p w14:paraId="5160DD5B" w14:textId="77777777" w:rsidR="00206354" w:rsidRDefault="002063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E6ECD" w14:textId="77777777" w:rsidR="00206354" w:rsidRDefault="00206354">
      <w:pPr>
        <w:rPr>
          <w:rFonts w:hint="eastAsia"/>
        </w:rPr>
      </w:pPr>
      <w:r>
        <w:rPr>
          <w:color w:val="000000"/>
        </w:rPr>
        <w:separator/>
      </w:r>
    </w:p>
  </w:footnote>
  <w:footnote w:type="continuationSeparator" w:id="0">
    <w:p w14:paraId="722DA6C0" w14:textId="77777777" w:rsidR="00206354" w:rsidRDefault="00206354">
      <w:pPr>
        <w:rPr>
          <w:rFonts w:hint="eastAsia"/>
        </w:rPr>
      </w:pPr>
      <w:r>
        <w:continuationSeparator/>
      </w:r>
    </w:p>
  </w:footnote>
  <w:footnote w:id="1">
    <w:p w14:paraId="5EABEF30" w14:textId="3208CB13" w:rsidR="009B7F9C" w:rsidRDefault="009B7F9C">
      <w:pPr>
        <w:pStyle w:val="Notedebasdepage"/>
        <w:rPr>
          <w:rFonts w:hint="eastAsia"/>
        </w:rPr>
      </w:pPr>
      <w:r>
        <w:rPr>
          <w:rStyle w:val="Appelnotedebasdep"/>
          <w:rFonts w:hint="eastAsia"/>
        </w:rPr>
        <w:footnoteRef/>
      </w:r>
      <w:r>
        <w:rPr>
          <w:rFonts w:hint="eastAsia"/>
        </w:rPr>
        <w:t xml:space="preserve"> </w:t>
      </w:r>
      <w:r>
        <w:t>Rapport 2022 de l’OFGL, p.10 ; Insee</w:t>
      </w:r>
      <w:r w:rsidR="009035B6">
        <w:t>,</w:t>
      </w:r>
      <w:r>
        <w:t xml:space="preserve"> </w:t>
      </w:r>
      <w:r w:rsidR="00361877">
        <w:t>c</w:t>
      </w:r>
      <w:r>
        <w:t xml:space="preserve">omptes nationaux : </w:t>
      </w:r>
      <w:hyperlink r:id="rId1" w:history="1">
        <w:r w:rsidR="00462840" w:rsidRPr="004F0ED9">
          <w:rPr>
            <w:rStyle w:val="Lienhypertexte"/>
            <w:rFonts w:hint="eastAsia"/>
          </w:rPr>
          <w:t>https://www.insee.fr/fr/statistiques/2830192</w:t>
        </w:r>
      </w:hyperlink>
      <w:r w:rsidR="00462840">
        <w:t xml:space="preserve"> </w:t>
      </w:r>
    </w:p>
  </w:footnote>
  <w:footnote w:id="2">
    <w:p w14:paraId="5BE6BB67" w14:textId="7EBC6D7A" w:rsidR="00EC4850" w:rsidRPr="00D8446B" w:rsidRDefault="00EC4850" w:rsidP="00EC4850">
      <w:pPr>
        <w:pStyle w:val="Notedebasdepage"/>
        <w:rPr>
          <w:rFonts w:hint="eastAsia"/>
          <w:lang w:val="en-GB"/>
        </w:rPr>
      </w:pPr>
      <w:r>
        <w:rPr>
          <w:rStyle w:val="Appelnotedebasdep"/>
          <w:rFonts w:hint="eastAsia"/>
        </w:rPr>
        <w:footnoteRef/>
      </w:r>
      <w:r w:rsidRPr="009B7F9C">
        <w:t xml:space="preserve"> Dynes, A. M., &amp; Martin, L. (2021). </w:t>
      </w:r>
      <w:r>
        <w:rPr>
          <w:lang w:val="en-GB"/>
        </w:rPr>
        <w:t xml:space="preserve">Revenue source and electoral accountability: Experimental evidence from local US policymakers. </w:t>
      </w:r>
      <w:r>
        <w:rPr>
          <w:i/>
          <w:iCs/>
          <w:lang w:val="en-GB"/>
        </w:rPr>
        <w:t xml:space="preserve">Political </w:t>
      </w:r>
      <w:proofErr w:type="spellStart"/>
      <w:r>
        <w:rPr>
          <w:i/>
          <w:iCs/>
          <w:lang w:val="en-GB"/>
        </w:rPr>
        <w:t>Behavior</w:t>
      </w:r>
      <w:proofErr w:type="spellEnd"/>
      <w:r>
        <w:rPr>
          <w:lang w:val="en-GB"/>
        </w:rPr>
        <w:t xml:space="preserve">, </w:t>
      </w:r>
      <w:r>
        <w:rPr>
          <w:i/>
          <w:iCs/>
          <w:lang w:val="en-GB"/>
        </w:rPr>
        <w:t>43</w:t>
      </w:r>
      <w:r>
        <w:rPr>
          <w:lang w:val="en-GB"/>
        </w:rPr>
        <w:t>(3), 1113-1136.</w:t>
      </w:r>
      <w:r>
        <w:rPr>
          <w:lang w:val="en-GB"/>
        </w:rPr>
        <w:br/>
      </w:r>
      <w:proofErr w:type="spellStart"/>
      <w:r>
        <w:rPr>
          <w:lang w:val="en-GB"/>
        </w:rPr>
        <w:t>Gadenne</w:t>
      </w:r>
      <w:proofErr w:type="spellEnd"/>
      <w:r>
        <w:rPr>
          <w:lang w:val="en-GB"/>
        </w:rPr>
        <w:t xml:space="preserve">, L. (2017). Tax me, but spend wisely? Sources of public finance and government accountability. </w:t>
      </w:r>
      <w:r>
        <w:rPr>
          <w:i/>
          <w:iCs/>
          <w:lang w:val="en-GB"/>
        </w:rPr>
        <w:t>American Economic Journal: Applied Economics</w:t>
      </w:r>
      <w:r>
        <w:rPr>
          <w:lang w:val="en-GB"/>
        </w:rPr>
        <w:t>, 274-314.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FB"/>
    <w:rsid w:val="00003656"/>
    <w:rsid w:val="00005AC3"/>
    <w:rsid w:val="00005DC7"/>
    <w:rsid w:val="000101E0"/>
    <w:rsid w:val="00011670"/>
    <w:rsid w:val="000160A5"/>
    <w:rsid w:val="00025854"/>
    <w:rsid w:val="00026219"/>
    <w:rsid w:val="000319E1"/>
    <w:rsid w:val="00036E04"/>
    <w:rsid w:val="000375EF"/>
    <w:rsid w:val="00041854"/>
    <w:rsid w:val="000425DC"/>
    <w:rsid w:val="00047767"/>
    <w:rsid w:val="000522D5"/>
    <w:rsid w:val="00062BBA"/>
    <w:rsid w:val="000677CA"/>
    <w:rsid w:val="00073A0C"/>
    <w:rsid w:val="0007438A"/>
    <w:rsid w:val="00074D65"/>
    <w:rsid w:val="000817ED"/>
    <w:rsid w:val="0008467B"/>
    <w:rsid w:val="00084DEF"/>
    <w:rsid w:val="00085E5E"/>
    <w:rsid w:val="0009122A"/>
    <w:rsid w:val="00095803"/>
    <w:rsid w:val="0009794C"/>
    <w:rsid w:val="000A740C"/>
    <w:rsid w:val="000B40B4"/>
    <w:rsid w:val="000B4FF6"/>
    <w:rsid w:val="000B5321"/>
    <w:rsid w:val="000C0A24"/>
    <w:rsid w:val="000C1B6A"/>
    <w:rsid w:val="000C4D5A"/>
    <w:rsid w:val="000D1000"/>
    <w:rsid w:val="000D7EC6"/>
    <w:rsid w:val="000F65E6"/>
    <w:rsid w:val="00101F5C"/>
    <w:rsid w:val="00103DFB"/>
    <w:rsid w:val="00106DFE"/>
    <w:rsid w:val="00106F8D"/>
    <w:rsid w:val="00111548"/>
    <w:rsid w:val="00120E2B"/>
    <w:rsid w:val="001224D3"/>
    <w:rsid w:val="0012266B"/>
    <w:rsid w:val="001250DD"/>
    <w:rsid w:val="0012698D"/>
    <w:rsid w:val="00126A6E"/>
    <w:rsid w:val="001314F2"/>
    <w:rsid w:val="0013596E"/>
    <w:rsid w:val="0014141F"/>
    <w:rsid w:val="00141916"/>
    <w:rsid w:val="001430B1"/>
    <w:rsid w:val="00152159"/>
    <w:rsid w:val="001529F6"/>
    <w:rsid w:val="00152D18"/>
    <w:rsid w:val="00154A5E"/>
    <w:rsid w:val="001564B4"/>
    <w:rsid w:val="001568B1"/>
    <w:rsid w:val="00162F69"/>
    <w:rsid w:val="00176E62"/>
    <w:rsid w:val="001841EA"/>
    <w:rsid w:val="001845B8"/>
    <w:rsid w:val="001863E6"/>
    <w:rsid w:val="00186F97"/>
    <w:rsid w:val="00192BB2"/>
    <w:rsid w:val="001A1802"/>
    <w:rsid w:val="001A63EA"/>
    <w:rsid w:val="001C2BF8"/>
    <w:rsid w:val="001C7CB3"/>
    <w:rsid w:val="001D3527"/>
    <w:rsid w:val="001E02F5"/>
    <w:rsid w:val="001E2084"/>
    <w:rsid w:val="001E291D"/>
    <w:rsid w:val="001E7E1B"/>
    <w:rsid w:val="001E7F71"/>
    <w:rsid w:val="001F48DC"/>
    <w:rsid w:val="001F6E90"/>
    <w:rsid w:val="002036CB"/>
    <w:rsid w:val="00206354"/>
    <w:rsid w:val="00216141"/>
    <w:rsid w:val="00217407"/>
    <w:rsid w:val="00217E74"/>
    <w:rsid w:val="0022037E"/>
    <w:rsid w:val="00234424"/>
    <w:rsid w:val="00241B8C"/>
    <w:rsid w:val="0024203D"/>
    <w:rsid w:val="00252CF5"/>
    <w:rsid w:val="00255C0D"/>
    <w:rsid w:val="00261EEA"/>
    <w:rsid w:val="0026207E"/>
    <w:rsid w:val="00266B09"/>
    <w:rsid w:val="00271939"/>
    <w:rsid w:val="00274874"/>
    <w:rsid w:val="00277A7B"/>
    <w:rsid w:val="002801B9"/>
    <w:rsid w:val="002878A3"/>
    <w:rsid w:val="00287E10"/>
    <w:rsid w:val="00292E7A"/>
    <w:rsid w:val="00292FE5"/>
    <w:rsid w:val="002A07D2"/>
    <w:rsid w:val="002B08D2"/>
    <w:rsid w:val="002B1F4C"/>
    <w:rsid w:val="002D0FBC"/>
    <w:rsid w:val="002D1073"/>
    <w:rsid w:val="002D42A9"/>
    <w:rsid w:val="002E6A5A"/>
    <w:rsid w:val="002F3772"/>
    <w:rsid w:val="00302649"/>
    <w:rsid w:val="0030463C"/>
    <w:rsid w:val="00304700"/>
    <w:rsid w:val="00311101"/>
    <w:rsid w:val="00312BF9"/>
    <w:rsid w:val="0032154B"/>
    <w:rsid w:val="003244B3"/>
    <w:rsid w:val="00336E12"/>
    <w:rsid w:val="00337B92"/>
    <w:rsid w:val="00340F5B"/>
    <w:rsid w:val="00350E4D"/>
    <w:rsid w:val="00352088"/>
    <w:rsid w:val="0036046C"/>
    <w:rsid w:val="00361877"/>
    <w:rsid w:val="00361F57"/>
    <w:rsid w:val="00363848"/>
    <w:rsid w:val="0036670A"/>
    <w:rsid w:val="00367208"/>
    <w:rsid w:val="0037623D"/>
    <w:rsid w:val="003908D9"/>
    <w:rsid w:val="003960AD"/>
    <w:rsid w:val="003A38A9"/>
    <w:rsid w:val="003B11E1"/>
    <w:rsid w:val="003B4CDB"/>
    <w:rsid w:val="003B7CC6"/>
    <w:rsid w:val="003F453A"/>
    <w:rsid w:val="00401A8A"/>
    <w:rsid w:val="004075D8"/>
    <w:rsid w:val="004100B6"/>
    <w:rsid w:val="0041206F"/>
    <w:rsid w:val="0041775D"/>
    <w:rsid w:val="00427C87"/>
    <w:rsid w:val="00444355"/>
    <w:rsid w:val="004510C9"/>
    <w:rsid w:val="00462840"/>
    <w:rsid w:val="0046406A"/>
    <w:rsid w:val="00464D90"/>
    <w:rsid w:val="00466D50"/>
    <w:rsid w:val="004721BB"/>
    <w:rsid w:val="00481CD3"/>
    <w:rsid w:val="0048611A"/>
    <w:rsid w:val="00493152"/>
    <w:rsid w:val="00495C44"/>
    <w:rsid w:val="004A11EA"/>
    <w:rsid w:val="004D41A5"/>
    <w:rsid w:val="004E5134"/>
    <w:rsid w:val="004E7EAA"/>
    <w:rsid w:val="004F2990"/>
    <w:rsid w:val="004F5FC1"/>
    <w:rsid w:val="004F6131"/>
    <w:rsid w:val="004F63D5"/>
    <w:rsid w:val="0050356F"/>
    <w:rsid w:val="00517248"/>
    <w:rsid w:val="0052011B"/>
    <w:rsid w:val="005253C0"/>
    <w:rsid w:val="0052555F"/>
    <w:rsid w:val="00527335"/>
    <w:rsid w:val="00527E2F"/>
    <w:rsid w:val="00530212"/>
    <w:rsid w:val="00531206"/>
    <w:rsid w:val="00532358"/>
    <w:rsid w:val="0054319F"/>
    <w:rsid w:val="00546EA4"/>
    <w:rsid w:val="0055630C"/>
    <w:rsid w:val="00556E01"/>
    <w:rsid w:val="00562515"/>
    <w:rsid w:val="00562CC3"/>
    <w:rsid w:val="00564E03"/>
    <w:rsid w:val="00572ABD"/>
    <w:rsid w:val="005743F9"/>
    <w:rsid w:val="0057719F"/>
    <w:rsid w:val="00580F81"/>
    <w:rsid w:val="00590EFB"/>
    <w:rsid w:val="0059111E"/>
    <w:rsid w:val="00594CF3"/>
    <w:rsid w:val="005A0169"/>
    <w:rsid w:val="005A1A9D"/>
    <w:rsid w:val="005B6668"/>
    <w:rsid w:val="005B72F0"/>
    <w:rsid w:val="005C08A4"/>
    <w:rsid w:val="005C0C37"/>
    <w:rsid w:val="005C70FF"/>
    <w:rsid w:val="005D0809"/>
    <w:rsid w:val="005D13DD"/>
    <w:rsid w:val="005D3733"/>
    <w:rsid w:val="005E0BEF"/>
    <w:rsid w:val="005E0F15"/>
    <w:rsid w:val="005E6D1D"/>
    <w:rsid w:val="005F228F"/>
    <w:rsid w:val="00606902"/>
    <w:rsid w:val="0060770A"/>
    <w:rsid w:val="00610599"/>
    <w:rsid w:val="00616A01"/>
    <w:rsid w:val="00621EAF"/>
    <w:rsid w:val="00624A68"/>
    <w:rsid w:val="00630854"/>
    <w:rsid w:val="00631D53"/>
    <w:rsid w:val="0064450D"/>
    <w:rsid w:val="006552A1"/>
    <w:rsid w:val="006563A9"/>
    <w:rsid w:val="00666A4F"/>
    <w:rsid w:val="00667CCC"/>
    <w:rsid w:val="006743A0"/>
    <w:rsid w:val="0067518E"/>
    <w:rsid w:val="00676DEC"/>
    <w:rsid w:val="00680D3C"/>
    <w:rsid w:val="00682563"/>
    <w:rsid w:val="00685C5F"/>
    <w:rsid w:val="00694753"/>
    <w:rsid w:val="006A222D"/>
    <w:rsid w:val="006A5375"/>
    <w:rsid w:val="006B4A18"/>
    <w:rsid w:val="006B57FE"/>
    <w:rsid w:val="006B74F9"/>
    <w:rsid w:val="006C144E"/>
    <w:rsid w:val="006C4E17"/>
    <w:rsid w:val="006C6CB3"/>
    <w:rsid w:val="006D2453"/>
    <w:rsid w:val="006D60B4"/>
    <w:rsid w:val="006E4D58"/>
    <w:rsid w:val="006E7C50"/>
    <w:rsid w:val="006F0643"/>
    <w:rsid w:val="006F5868"/>
    <w:rsid w:val="006F7A9F"/>
    <w:rsid w:val="0070311C"/>
    <w:rsid w:val="007048AC"/>
    <w:rsid w:val="00722513"/>
    <w:rsid w:val="00727687"/>
    <w:rsid w:val="0073063E"/>
    <w:rsid w:val="007374F9"/>
    <w:rsid w:val="007418C2"/>
    <w:rsid w:val="00751AED"/>
    <w:rsid w:val="00756C37"/>
    <w:rsid w:val="0076018E"/>
    <w:rsid w:val="0076237C"/>
    <w:rsid w:val="007628F3"/>
    <w:rsid w:val="00772BD4"/>
    <w:rsid w:val="00786F0C"/>
    <w:rsid w:val="0079069F"/>
    <w:rsid w:val="00791D30"/>
    <w:rsid w:val="007A2B49"/>
    <w:rsid w:val="007A4606"/>
    <w:rsid w:val="007A463A"/>
    <w:rsid w:val="007A7C7F"/>
    <w:rsid w:val="007B756D"/>
    <w:rsid w:val="007C6C73"/>
    <w:rsid w:val="007D011B"/>
    <w:rsid w:val="007D0F16"/>
    <w:rsid w:val="007E3C63"/>
    <w:rsid w:val="007F6F63"/>
    <w:rsid w:val="008024D8"/>
    <w:rsid w:val="008040A0"/>
    <w:rsid w:val="0080584A"/>
    <w:rsid w:val="00813CCC"/>
    <w:rsid w:val="008142B8"/>
    <w:rsid w:val="00825357"/>
    <w:rsid w:val="008259A4"/>
    <w:rsid w:val="00825CF9"/>
    <w:rsid w:val="008309E9"/>
    <w:rsid w:val="00831559"/>
    <w:rsid w:val="00840A52"/>
    <w:rsid w:val="0084209D"/>
    <w:rsid w:val="008455CE"/>
    <w:rsid w:val="00850889"/>
    <w:rsid w:val="00864715"/>
    <w:rsid w:val="00865E48"/>
    <w:rsid w:val="008707B4"/>
    <w:rsid w:val="00872B82"/>
    <w:rsid w:val="008828BC"/>
    <w:rsid w:val="00887BCD"/>
    <w:rsid w:val="00892160"/>
    <w:rsid w:val="00895D94"/>
    <w:rsid w:val="008A5359"/>
    <w:rsid w:val="008A6258"/>
    <w:rsid w:val="008B2356"/>
    <w:rsid w:val="008B333A"/>
    <w:rsid w:val="008B6864"/>
    <w:rsid w:val="008C0332"/>
    <w:rsid w:val="008C1113"/>
    <w:rsid w:val="008C5393"/>
    <w:rsid w:val="008D1269"/>
    <w:rsid w:val="008D35D4"/>
    <w:rsid w:val="008D69A9"/>
    <w:rsid w:val="008E2B5D"/>
    <w:rsid w:val="008E43B4"/>
    <w:rsid w:val="008E6A2C"/>
    <w:rsid w:val="008F29B0"/>
    <w:rsid w:val="008F2DD2"/>
    <w:rsid w:val="0090034D"/>
    <w:rsid w:val="009035B6"/>
    <w:rsid w:val="00904BA5"/>
    <w:rsid w:val="009179A1"/>
    <w:rsid w:val="009315C3"/>
    <w:rsid w:val="00933783"/>
    <w:rsid w:val="00934BDB"/>
    <w:rsid w:val="00937D2C"/>
    <w:rsid w:val="00946B84"/>
    <w:rsid w:val="00947353"/>
    <w:rsid w:val="009475DD"/>
    <w:rsid w:val="0095048F"/>
    <w:rsid w:val="0095071F"/>
    <w:rsid w:val="00952565"/>
    <w:rsid w:val="0095289D"/>
    <w:rsid w:val="009534D6"/>
    <w:rsid w:val="0096106E"/>
    <w:rsid w:val="00970CF5"/>
    <w:rsid w:val="00981E2B"/>
    <w:rsid w:val="0098303B"/>
    <w:rsid w:val="0098423B"/>
    <w:rsid w:val="00987FBE"/>
    <w:rsid w:val="00993A43"/>
    <w:rsid w:val="009B2992"/>
    <w:rsid w:val="009B3892"/>
    <w:rsid w:val="009B47E5"/>
    <w:rsid w:val="009B67E9"/>
    <w:rsid w:val="009B7F9C"/>
    <w:rsid w:val="009E3E68"/>
    <w:rsid w:val="009E414D"/>
    <w:rsid w:val="009E59DF"/>
    <w:rsid w:val="009F6976"/>
    <w:rsid w:val="009F795C"/>
    <w:rsid w:val="00A0067B"/>
    <w:rsid w:val="00A07BC7"/>
    <w:rsid w:val="00A07EB8"/>
    <w:rsid w:val="00A11EE0"/>
    <w:rsid w:val="00A24EFC"/>
    <w:rsid w:val="00A25B78"/>
    <w:rsid w:val="00A37C19"/>
    <w:rsid w:val="00A42074"/>
    <w:rsid w:val="00A42E69"/>
    <w:rsid w:val="00A50AD9"/>
    <w:rsid w:val="00A60446"/>
    <w:rsid w:val="00A679B0"/>
    <w:rsid w:val="00A71982"/>
    <w:rsid w:val="00A732B4"/>
    <w:rsid w:val="00A746D0"/>
    <w:rsid w:val="00A801D1"/>
    <w:rsid w:val="00AA200E"/>
    <w:rsid w:val="00AB038C"/>
    <w:rsid w:val="00AC183F"/>
    <w:rsid w:val="00AC5679"/>
    <w:rsid w:val="00AD00F0"/>
    <w:rsid w:val="00AD0405"/>
    <w:rsid w:val="00AD432B"/>
    <w:rsid w:val="00AD6EDE"/>
    <w:rsid w:val="00AE24BF"/>
    <w:rsid w:val="00AE2787"/>
    <w:rsid w:val="00B05318"/>
    <w:rsid w:val="00B059E7"/>
    <w:rsid w:val="00B139B5"/>
    <w:rsid w:val="00B16A00"/>
    <w:rsid w:val="00B26A42"/>
    <w:rsid w:val="00B33082"/>
    <w:rsid w:val="00B34F57"/>
    <w:rsid w:val="00B419EB"/>
    <w:rsid w:val="00B43283"/>
    <w:rsid w:val="00B47B39"/>
    <w:rsid w:val="00B47C21"/>
    <w:rsid w:val="00B5249D"/>
    <w:rsid w:val="00B54121"/>
    <w:rsid w:val="00B5649A"/>
    <w:rsid w:val="00B614C0"/>
    <w:rsid w:val="00B6741A"/>
    <w:rsid w:val="00B952D7"/>
    <w:rsid w:val="00BA12E7"/>
    <w:rsid w:val="00BA1C95"/>
    <w:rsid w:val="00BA4655"/>
    <w:rsid w:val="00BA749A"/>
    <w:rsid w:val="00BB0EEF"/>
    <w:rsid w:val="00BB2F67"/>
    <w:rsid w:val="00BB67C7"/>
    <w:rsid w:val="00BC25C9"/>
    <w:rsid w:val="00BC59C2"/>
    <w:rsid w:val="00BC74A1"/>
    <w:rsid w:val="00BE1BDD"/>
    <w:rsid w:val="00BF251D"/>
    <w:rsid w:val="00C01252"/>
    <w:rsid w:val="00C03E4C"/>
    <w:rsid w:val="00C050F6"/>
    <w:rsid w:val="00C262E3"/>
    <w:rsid w:val="00C300F9"/>
    <w:rsid w:val="00C309E9"/>
    <w:rsid w:val="00C61D7D"/>
    <w:rsid w:val="00C63851"/>
    <w:rsid w:val="00C670D0"/>
    <w:rsid w:val="00C72D0D"/>
    <w:rsid w:val="00C7635B"/>
    <w:rsid w:val="00C81415"/>
    <w:rsid w:val="00C87B65"/>
    <w:rsid w:val="00C90576"/>
    <w:rsid w:val="00C9274A"/>
    <w:rsid w:val="00C92BB2"/>
    <w:rsid w:val="00CB47E4"/>
    <w:rsid w:val="00CD3854"/>
    <w:rsid w:val="00CD39E8"/>
    <w:rsid w:val="00D01DBA"/>
    <w:rsid w:val="00D140B8"/>
    <w:rsid w:val="00D17BDF"/>
    <w:rsid w:val="00D21795"/>
    <w:rsid w:val="00D24105"/>
    <w:rsid w:val="00D27DE7"/>
    <w:rsid w:val="00D434AE"/>
    <w:rsid w:val="00D46ADC"/>
    <w:rsid w:val="00D50075"/>
    <w:rsid w:val="00D51B09"/>
    <w:rsid w:val="00D57544"/>
    <w:rsid w:val="00D57C5D"/>
    <w:rsid w:val="00D71537"/>
    <w:rsid w:val="00D8446B"/>
    <w:rsid w:val="00D84EDD"/>
    <w:rsid w:val="00D9133B"/>
    <w:rsid w:val="00D91741"/>
    <w:rsid w:val="00D9293B"/>
    <w:rsid w:val="00DA23E9"/>
    <w:rsid w:val="00DA4913"/>
    <w:rsid w:val="00DA53B1"/>
    <w:rsid w:val="00DA56D3"/>
    <w:rsid w:val="00DB0C11"/>
    <w:rsid w:val="00DB7450"/>
    <w:rsid w:val="00DC5003"/>
    <w:rsid w:val="00DD0B0C"/>
    <w:rsid w:val="00DF64AE"/>
    <w:rsid w:val="00E10B1E"/>
    <w:rsid w:val="00E145AB"/>
    <w:rsid w:val="00E14D26"/>
    <w:rsid w:val="00E23541"/>
    <w:rsid w:val="00E23CE8"/>
    <w:rsid w:val="00E313E4"/>
    <w:rsid w:val="00E33753"/>
    <w:rsid w:val="00E36E2E"/>
    <w:rsid w:val="00E40BBF"/>
    <w:rsid w:val="00E44282"/>
    <w:rsid w:val="00E447F3"/>
    <w:rsid w:val="00E52008"/>
    <w:rsid w:val="00E535FD"/>
    <w:rsid w:val="00E5498E"/>
    <w:rsid w:val="00E63946"/>
    <w:rsid w:val="00E658C4"/>
    <w:rsid w:val="00E66462"/>
    <w:rsid w:val="00E67B59"/>
    <w:rsid w:val="00E7304C"/>
    <w:rsid w:val="00E75B3A"/>
    <w:rsid w:val="00E769C8"/>
    <w:rsid w:val="00E91A90"/>
    <w:rsid w:val="00EA024A"/>
    <w:rsid w:val="00EA11E5"/>
    <w:rsid w:val="00EA3F34"/>
    <w:rsid w:val="00EA6E97"/>
    <w:rsid w:val="00EB4149"/>
    <w:rsid w:val="00EB6623"/>
    <w:rsid w:val="00EC4850"/>
    <w:rsid w:val="00ED1AFD"/>
    <w:rsid w:val="00ED2E10"/>
    <w:rsid w:val="00EE12C6"/>
    <w:rsid w:val="00EF1D07"/>
    <w:rsid w:val="00EF1E43"/>
    <w:rsid w:val="00EF4D4F"/>
    <w:rsid w:val="00EF5B6C"/>
    <w:rsid w:val="00EF5D81"/>
    <w:rsid w:val="00F024FB"/>
    <w:rsid w:val="00F05D7F"/>
    <w:rsid w:val="00F07A5A"/>
    <w:rsid w:val="00F17A4F"/>
    <w:rsid w:val="00F301D6"/>
    <w:rsid w:val="00F35607"/>
    <w:rsid w:val="00F3624F"/>
    <w:rsid w:val="00F44752"/>
    <w:rsid w:val="00F52ADE"/>
    <w:rsid w:val="00F5383D"/>
    <w:rsid w:val="00F5426F"/>
    <w:rsid w:val="00F73FD5"/>
    <w:rsid w:val="00F76C06"/>
    <w:rsid w:val="00F7786C"/>
    <w:rsid w:val="00F924A6"/>
    <w:rsid w:val="00F92D14"/>
    <w:rsid w:val="00F95BDA"/>
    <w:rsid w:val="00FA15AC"/>
    <w:rsid w:val="00FA22B8"/>
    <w:rsid w:val="00FA45FD"/>
    <w:rsid w:val="00FB2FFD"/>
    <w:rsid w:val="00FB3FE4"/>
    <w:rsid w:val="00FB4063"/>
    <w:rsid w:val="00FB521E"/>
    <w:rsid w:val="00FB527C"/>
    <w:rsid w:val="00FC1717"/>
    <w:rsid w:val="00FC30B9"/>
    <w:rsid w:val="00FC3646"/>
    <w:rsid w:val="00FC6CC6"/>
    <w:rsid w:val="00FD0974"/>
    <w:rsid w:val="00FD5828"/>
    <w:rsid w:val="00FF0EB8"/>
    <w:rsid w:val="00FF1F60"/>
    <w:rsid w:val="00FF7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6A80"/>
  <w15:docId w15:val="{E96B45D0-BE9E-4120-8125-612529A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tedebasdepage">
    <w:name w:val="footnote text"/>
    <w:basedOn w:val="Normal"/>
    <w:rPr>
      <w:rFonts w:cs="Mangal"/>
      <w:sz w:val="20"/>
      <w:szCs w:val="18"/>
    </w:rPr>
  </w:style>
  <w:style w:type="character" w:customStyle="1" w:styleId="NotedebasdepageCar">
    <w:name w:val="Note de bas de page Car"/>
    <w:basedOn w:val="Policepardfaut"/>
    <w:rPr>
      <w:rFonts w:cs="Mangal"/>
      <w:sz w:val="20"/>
      <w:szCs w:val="18"/>
    </w:rPr>
  </w:style>
  <w:style w:type="character" w:styleId="Appelnotedebasdep">
    <w:name w:val="footnote reference"/>
    <w:basedOn w:val="Policepardfaut"/>
    <w:rPr>
      <w:position w:val="0"/>
      <w:vertAlign w:val="superscript"/>
    </w:rPr>
  </w:style>
  <w:style w:type="character" w:styleId="Lienhypertexte">
    <w:name w:val="Hyperlink"/>
    <w:basedOn w:val="Policepardfaut"/>
    <w:rPr>
      <w:color w:val="0563C1"/>
      <w:u w:val="single"/>
    </w:rPr>
  </w:style>
  <w:style w:type="character" w:customStyle="1" w:styleId="UnresolvedMention">
    <w:name w:val="Unresolved Mention"/>
    <w:basedOn w:val="Policepardfaut"/>
    <w:rPr>
      <w:color w:val="605E5C"/>
      <w:shd w:val="clear" w:color="auto" w:fill="E1DFDD"/>
    </w:rPr>
  </w:style>
  <w:style w:type="character" w:styleId="Marquedecommentaire">
    <w:name w:val="annotation reference"/>
    <w:basedOn w:val="Policepardfaut"/>
    <w:uiPriority w:val="99"/>
    <w:semiHidden/>
    <w:unhideWhenUsed/>
    <w:rsid w:val="008A6258"/>
    <w:rPr>
      <w:sz w:val="16"/>
      <w:szCs w:val="16"/>
    </w:rPr>
  </w:style>
  <w:style w:type="paragraph" w:styleId="Commentaire">
    <w:name w:val="annotation text"/>
    <w:basedOn w:val="Normal"/>
    <w:link w:val="CommentaireCar"/>
    <w:uiPriority w:val="99"/>
    <w:semiHidden/>
    <w:unhideWhenUsed/>
    <w:rsid w:val="008A6258"/>
    <w:rPr>
      <w:rFonts w:cs="Mangal"/>
      <w:sz w:val="20"/>
      <w:szCs w:val="18"/>
    </w:rPr>
  </w:style>
  <w:style w:type="character" w:customStyle="1" w:styleId="CommentaireCar">
    <w:name w:val="Commentaire Car"/>
    <w:basedOn w:val="Policepardfaut"/>
    <w:link w:val="Commentaire"/>
    <w:uiPriority w:val="99"/>
    <w:semiHidden/>
    <w:rsid w:val="008A6258"/>
    <w:rPr>
      <w:rFonts w:cs="Mangal"/>
      <w:sz w:val="20"/>
      <w:szCs w:val="18"/>
    </w:rPr>
  </w:style>
  <w:style w:type="paragraph" w:styleId="Objetducommentaire">
    <w:name w:val="annotation subject"/>
    <w:basedOn w:val="Commentaire"/>
    <w:next w:val="Commentaire"/>
    <w:link w:val="ObjetducommentaireCar"/>
    <w:uiPriority w:val="99"/>
    <w:semiHidden/>
    <w:unhideWhenUsed/>
    <w:rsid w:val="008A6258"/>
    <w:rPr>
      <w:b/>
      <w:bCs/>
    </w:rPr>
  </w:style>
  <w:style w:type="character" w:customStyle="1" w:styleId="ObjetducommentaireCar">
    <w:name w:val="Objet du commentaire Car"/>
    <w:basedOn w:val="CommentaireCar"/>
    <w:link w:val="Objetducommentaire"/>
    <w:uiPriority w:val="99"/>
    <w:semiHidden/>
    <w:rsid w:val="008A6258"/>
    <w:rPr>
      <w:rFonts w:cs="Mangal"/>
      <w:b/>
      <w:bCs/>
      <w:sz w:val="20"/>
      <w:szCs w:val="18"/>
    </w:rPr>
  </w:style>
  <w:style w:type="paragraph" w:styleId="Textedebulles">
    <w:name w:val="Balloon Text"/>
    <w:basedOn w:val="Normal"/>
    <w:link w:val="TextedebullesCar"/>
    <w:uiPriority w:val="99"/>
    <w:semiHidden/>
    <w:unhideWhenUsed/>
    <w:rsid w:val="008A6258"/>
    <w:rPr>
      <w:rFonts w:ascii="Segoe UI" w:hAnsi="Segoe UI" w:cs="Mangal"/>
      <w:sz w:val="18"/>
      <w:szCs w:val="16"/>
    </w:rPr>
  </w:style>
  <w:style w:type="character" w:customStyle="1" w:styleId="TextedebullesCar">
    <w:name w:val="Texte de bulles Car"/>
    <w:basedOn w:val="Policepardfaut"/>
    <w:link w:val="Textedebulles"/>
    <w:uiPriority w:val="99"/>
    <w:semiHidden/>
    <w:rsid w:val="008A6258"/>
    <w:rPr>
      <w:rFonts w:ascii="Segoe UI" w:hAnsi="Segoe UI" w:cs="Mangal"/>
      <w:sz w:val="18"/>
      <w:szCs w:val="16"/>
    </w:rPr>
  </w:style>
  <w:style w:type="paragraph" w:styleId="En-tte">
    <w:name w:val="header"/>
    <w:basedOn w:val="Normal"/>
    <w:link w:val="En-tteCar"/>
    <w:uiPriority w:val="99"/>
    <w:unhideWhenUsed/>
    <w:rsid w:val="002E6A5A"/>
    <w:pPr>
      <w:tabs>
        <w:tab w:val="center" w:pos="4536"/>
        <w:tab w:val="right" w:pos="9072"/>
      </w:tabs>
    </w:pPr>
    <w:rPr>
      <w:rFonts w:cs="Mangal"/>
      <w:szCs w:val="21"/>
    </w:rPr>
  </w:style>
  <w:style w:type="character" w:customStyle="1" w:styleId="En-tteCar">
    <w:name w:val="En-tête Car"/>
    <w:basedOn w:val="Policepardfaut"/>
    <w:link w:val="En-tte"/>
    <w:uiPriority w:val="99"/>
    <w:rsid w:val="002E6A5A"/>
    <w:rPr>
      <w:rFonts w:cs="Mangal"/>
      <w:szCs w:val="21"/>
    </w:rPr>
  </w:style>
  <w:style w:type="paragraph" w:styleId="Pieddepage">
    <w:name w:val="footer"/>
    <w:basedOn w:val="Normal"/>
    <w:link w:val="PieddepageCar"/>
    <w:uiPriority w:val="99"/>
    <w:unhideWhenUsed/>
    <w:rsid w:val="002E6A5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E6A5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822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nsee.fr/fr/statistiques/28301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065C-5545-41BD-922B-57BF1085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865</Words>
  <Characters>4761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 Letissier</dc:creator>
  <cp:lastModifiedBy>Letissier, Florentin</cp:lastModifiedBy>
  <cp:revision>22</cp:revision>
  <dcterms:created xsi:type="dcterms:W3CDTF">2022-11-10T11:42:00Z</dcterms:created>
  <dcterms:modified xsi:type="dcterms:W3CDTF">2022-11-17T11:07:00Z</dcterms:modified>
</cp:coreProperties>
</file>